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7BCA" w:rsidRPr="004E214A" w:rsidRDefault="002F7BCA" w:rsidP="004E214A">
      <w:pPr>
        <w:pStyle w:val="Heading1"/>
      </w:pPr>
      <w:r w:rsidRPr="004E214A">
        <w:t>Public Participation at Board Meetings</w:t>
      </w:r>
    </w:p>
    <w:p w:rsidR="00F966F6" w:rsidRPr="00375F48" w:rsidRDefault="00F966F6" w:rsidP="00F966F6">
      <w:pPr>
        <w:pStyle w:val="policypage"/>
        <w:rPr>
          <w:rFonts w:ascii="APHont" w:hAnsi="APHont"/>
        </w:rPr>
      </w:pPr>
      <w:r w:rsidRPr="00375F48">
        <w:rPr>
          <w:rFonts w:ascii="APHont" w:hAnsi="APHont"/>
        </w:rPr>
        <w:t xml:space="preserve">All meetings of the Board of Trustees shall be open to the public.  Because the Board desires to hear the viewpoints of all Citizens </w:t>
      </w:r>
      <w:proofErr w:type="gramStart"/>
      <w:r w:rsidRPr="00375F48">
        <w:rPr>
          <w:rFonts w:ascii="APHont" w:hAnsi="APHont"/>
        </w:rPr>
        <w:t>and also</w:t>
      </w:r>
      <w:proofErr w:type="gramEnd"/>
      <w:r w:rsidRPr="00375F48">
        <w:rPr>
          <w:rFonts w:ascii="APHont" w:hAnsi="APHont"/>
        </w:rPr>
        <w:t xml:space="preserve"> needs to conduct its business in an orderly and efficient manner, it shall schedule time during all Board meetings</w:t>
      </w:r>
      <w:r w:rsidRPr="00375F48">
        <w:rPr>
          <w:rFonts w:ascii="APHont" w:hAnsi="APHont"/>
          <w:b/>
          <w:bCs/>
        </w:rPr>
        <w:t xml:space="preserve"> </w:t>
      </w:r>
      <w:r w:rsidRPr="00375F48">
        <w:rPr>
          <w:rFonts w:ascii="APHont" w:hAnsi="APHont"/>
        </w:rPr>
        <w:t>for brief comments and questions from the public.  Some public comment periods may relate to specific items on the</w:t>
      </w:r>
      <w:r w:rsidRPr="00375F48">
        <w:rPr>
          <w:rFonts w:ascii="APHont" w:hAnsi="APHont"/>
          <w:b/>
          <w:bCs/>
        </w:rPr>
        <w:t xml:space="preserve"> </w:t>
      </w:r>
      <w:r w:rsidRPr="00375F48">
        <w:rPr>
          <w:rFonts w:ascii="APHont" w:hAnsi="APHont"/>
        </w:rPr>
        <w:t>agenda.  The Board shall set a time limit on the length of the public participation time and a</w:t>
      </w:r>
      <w:r w:rsidRPr="00375F48">
        <w:rPr>
          <w:rFonts w:ascii="APHont" w:hAnsi="APHont"/>
          <w:b/>
          <w:bCs/>
        </w:rPr>
        <w:t xml:space="preserve"> </w:t>
      </w:r>
      <w:r w:rsidRPr="00375F48">
        <w:rPr>
          <w:rFonts w:ascii="APHont" w:hAnsi="APHont"/>
        </w:rPr>
        <w:t xml:space="preserve">time limit for individual speakers. </w:t>
      </w:r>
    </w:p>
    <w:p w:rsidR="00F966F6" w:rsidRPr="00375F48" w:rsidRDefault="00F966F6" w:rsidP="00F966F6">
      <w:pPr>
        <w:pStyle w:val="policypage"/>
        <w:rPr>
          <w:rFonts w:ascii="APHont" w:hAnsi="APHont"/>
        </w:rPr>
      </w:pPr>
      <w:r w:rsidRPr="00375F48">
        <w:rPr>
          <w:rFonts w:ascii="APHont" w:hAnsi="APHont"/>
        </w:rPr>
        <w:t xml:space="preserve">Members of the public wishing to make formal presentations before the Board should </w:t>
      </w:r>
      <w:proofErr w:type="gramStart"/>
      <w:r w:rsidRPr="00375F48">
        <w:rPr>
          <w:rFonts w:ascii="APHont" w:hAnsi="APHont"/>
        </w:rPr>
        <w:t>make arrangements</w:t>
      </w:r>
      <w:proofErr w:type="gramEnd"/>
      <w:r w:rsidRPr="00375F48">
        <w:rPr>
          <w:rFonts w:ascii="APHont" w:hAnsi="APHont"/>
        </w:rPr>
        <w:t xml:space="preserve"> in advance with the superintendent so that such presentations,</w:t>
      </w:r>
      <w:r w:rsidRPr="00375F48">
        <w:rPr>
          <w:rFonts w:ascii="APHont" w:hAnsi="APHont"/>
          <w:b/>
          <w:bCs/>
        </w:rPr>
        <w:t xml:space="preserve"> </w:t>
      </w:r>
      <w:r w:rsidRPr="00375F48">
        <w:rPr>
          <w:rFonts w:ascii="APHont" w:hAnsi="APHont"/>
        </w:rPr>
        <w:t xml:space="preserve">when appropriate, may be scheduled on the agenda. </w:t>
      </w:r>
    </w:p>
    <w:p w:rsidR="00F966F6" w:rsidRPr="00375F48" w:rsidRDefault="00F966F6" w:rsidP="00F966F6">
      <w:pPr>
        <w:pStyle w:val="policypage"/>
        <w:rPr>
          <w:rFonts w:ascii="APHont" w:hAnsi="APHont"/>
        </w:rPr>
      </w:pPr>
      <w:r w:rsidRPr="00375F48">
        <w:rPr>
          <w:rFonts w:ascii="APHont" w:hAnsi="APHont"/>
        </w:rPr>
        <w:t>In addition to public participation time during Board meetings, the Board is committed to engaging members of the community on an ongoing basis regarding community values about education during times other than the Board's regular meetings.</w:t>
      </w:r>
    </w:p>
    <w:p w:rsidR="002F7BCA" w:rsidRPr="00375F48" w:rsidRDefault="002F7BCA" w:rsidP="00F966F6">
      <w:pPr>
        <w:pStyle w:val="policypage"/>
        <w:rPr>
          <w:rFonts w:ascii="APHont" w:hAnsi="APHont"/>
        </w:rPr>
      </w:pPr>
      <w:r w:rsidRPr="00375F48">
        <w:rPr>
          <w:rFonts w:ascii="APHont" w:hAnsi="APHont"/>
        </w:rPr>
        <w:t>Issued:  April 25, 2005</w:t>
      </w:r>
    </w:p>
    <w:p w:rsidR="002F7BCA" w:rsidRPr="00375F48" w:rsidRDefault="002F7BCA" w:rsidP="00F966F6">
      <w:pPr>
        <w:pStyle w:val="policypage"/>
        <w:rPr>
          <w:rFonts w:ascii="APHont" w:hAnsi="APHont"/>
        </w:rPr>
      </w:pPr>
      <w:r w:rsidRPr="00375F48">
        <w:rPr>
          <w:rFonts w:ascii="APHont" w:hAnsi="APHont"/>
        </w:rPr>
        <w:t>Adopted and revised by Board of Trustees:  June 12, 2007</w:t>
      </w:r>
    </w:p>
    <w:p w:rsidR="002F7BCA" w:rsidRPr="00375F48" w:rsidRDefault="002F7BCA" w:rsidP="00F966F6">
      <w:pPr>
        <w:pStyle w:val="policypage"/>
        <w:rPr>
          <w:rFonts w:ascii="APHont" w:hAnsi="APHont"/>
        </w:rPr>
      </w:pPr>
      <w:r w:rsidRPr="00375F48">
        <w:rPr>
          <w:rFonts w:ascii="APHont" w:hAnsi="APHont"/>
        </w:rPr>
        <w:t>LEGAL REFS:</w:t>
      </w:r>
      <w:r w:rsidRPr="00375F48">
        <w:rPr>
          <w:rFonts w:ascii="APHont" w:hAnsi="APHont"/>
        </w:rPr>
        <w:tab/>
        <w:t xml:space="preserve">C.R.S. 24-6-401 </w:t>
      </w:r>
      <w:r w:rsidRPr="00375F48">
        <w:rPr>
          <w:rFonts w:ascii="APHont" w:hAnsi="APHont"/>
          <w:i/>
        </w:rPr>
        <w:t>et.seq.</w:t>
      </w:r>
    </w:p>
    <w:p w:rsidR="002F7BCA" w:rsidRPr="00375F48" w:rsidRDefault="00E734CD" w:rsidP="00F966F6">
      <w:pPr>
        <w:pStyle w:val="policypage"/>
        <w:rPr>
          <w:rFonts w:ascii="APHont" w:hAnsi="APHont"/>
        </w:rPr>
      </w:pPr>
      <w:r>
        <w:rPr>
          <w:rFonts w:ascii="APHont" w:hAnsi="APHont"/>
        </w:rPr>
        <w:t>CROSS REF</w:t>
      </w:r>
      <w:bookmarkStart w:id="0" w:name="_GoBack"/>
      <w:bookmarkEnd w:id="0"/>
      <w:r>
        <w:rPr>
          <w:rFonts w:ascii="APHont" w:hAnsi="APHont"/>
        </w:rPr>
        <w:t>S:</w:t>
      </w:r>
      <w:r>
        <w:rPr>
          <w:rFonts w:ascii="APHont" w:hAnsi="APHont"/>
        </w:rPr>
        <w:tab/>
        <w:t>KE,</w:t>
      </w:r>
      <w:r w:rsidR="002F7BCA" w:rsidRPr="00375F48">
        <w:rPr>
          <w:rFonts w:ascii="APHont" w:hAnsi="APHont"/>
        </w:rPr>
        <w:t xml:space="preserve"> Public Concerns and Complaints</w:t>
      </w:r>
    </w:p>
    <w:sectPr w:rsidR="002F7BCA" w:rsidRPr="00375F48">
      <w:headerReference w:type="default" r:id="rId6"/>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5F48" w:rsidRDefault="00375F48" w:rsidP="00375F48">
      <w:r>
        <w:separator/>
      </w:r>
    </w:p>
  </w:endnote>
  <w:endnote w:type="continuationSeparator" w:id="0">
    <w:p w:rsidR="00375F48" w:rsidRDefault="00375F48" w:rsidP="00375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PHont">
    <w:panose1 w:val="020B0604030504040204"/>
    <w:charset w:val="00"/>
    <w:family w:val="swiss"/>
    <w:pitch w:val="variable"/>
    <w:sig w:usb0="A00000AF" w:usb1="40002048" w:usb2="00000000" w:usb3="00000000" w:csb0="0000011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PHont" w:hAnsi="APHont"/>
        <w:sz w:val="22"/>
        <w:szCs w:val="22"/>
      </w:rPr>
      <w:id w:val="31698105"/>
      <w:docPartObj>
        <w:docPartGallery w:val="Page Numbers (Bottom of Page)"/>
        <w:docPartUnique/>
      </w:docPartObj>
    </w:sdtPr>
    <w:sdtEndPr/>
    <w:sdtContent>
      <w:sdt>
        <w:sdtPr>
          <w:rPr>
            <w:rFonts w:ascii="APHont" w:hAnsi="APHont"/>
            <w:sz w:val="22"/>
            <w:szCs w:val="22"/>
          </w:rPr>
          <w:id w:val="-1769616900"/>
          <w:docPartObj>
            <w:docPartGallery w:val="Page Numbers (Top of Page)"/>
            <w:docPartUnique/>
          </w:docPartObj>
        </w:sdtPr>
        <w:sdtEndPr/>
        <w:sdtContent>
          <w:p w:rsidR="00375F48" w:rsidRPr="00375F48" w:rsidRDefault="00375F48">
            <w:pPr>
              <w:pStyle w:val="Footer"/>
              <w:jc w:val="right"/>
              <w:rPr>
                <w:rFonts w:ascii="APHont" w:hAnsi="APHont"/>
                <w:sz w:val="22"/>
                <w:szCs w:val="22"/>
              </w:rPr>
            </w:pPr>
            <w:r w:rsidRPr="00375F48">
              <w:rPr>
                <w:rFonts w:ascii="APHont" w:hAnsi="APHont"/>
                <w:sz w:val="22"/>
                <w:szCs w:val="22"/>
              </w:rPr>
              <w:t>Colorado School for the Deaf and the Blind, Colorado Springs, CO</w:t>
            </w:r>
            <w:r w:rsidRPr="00375F48">
              <w:rPr>
                <w:rFonts w:ascii="APHont" w:hAnsi="APHont"/>
                <w:sz w:val="22"/>
                <w:szCs w:val="22"/>
              </w:rPr>
              <w:tab/>
              <w:t xml:space="preserve">Page </w:t>
            </w:r>
            <w:r w:rsidRPr="00375F48">
              <w:rPr>
                <w:rFonts w:ascii="APHont" w:hAnsi="APHont"/>
                <w:bCs/>
                <w:sz w:val="22"/>
                <w:szCs w:val="22"/>
              </w:rPr>
              <w:fldChar w:fldCharType="begin"/>
            </w:r>
            <w:r w:rsidRPr="00375F48">
              <w:rPr>
                <w:rFonts w:ascii="APHont" w:hAnsi="APHont"/>
                <w:bCs/>
                <w:sz w:val="22"/>
                <w:szCs w:val="22"/>
              </w:rPr>
              <w:instrText xml:space="preserve"> PAGE </w:instrText>
            </w:r>
            <w:r w:rsidRPr="00375F48">
              <w:rPr>
                <w:rFonts w:ascii="APHont" w:hAnsi="APHont"/>
                <w:bCs/>
                <w:sz w:val="22"/>
                <w:szCs w:val="22"/>
              </w:rPr>
              <w:fldChar w:fldCharType="separate"/>
            </w:r>
            <w:r w:rsidR="00E734CD">
              <w:rPr>
                <w:rFonts w:ascii="APHont" w:hAnsi="APHont"/>
                <w:bCs/>
                <w:noProof/>
                <w:sz w:val="22"/>
                <w:szCs w:val="22"/>
              </w:rPr>
              <w:t>1</w:t>
            </w:r>
            <w:r w:rsidRPr="00375F48">
              <w:rPr>
                <w:rFonts w:ascii="APHont" w:hAnsi="APHont"/>
                <w:bCs/>
                <w:sz w:val="22"/>
                <w:szCs w:val="22"/>
              </w:rPr>
              <w:fldChar w:fldCharType="end"/>
            </w:r>
            <w:r w:rsidRPr="00375F48">
              <w:rPr>
                <w:rFonts w:ascii="APHont" w:hAnsi="APHont"/>
                <w:sz w:val="22"/>
                <w:szCs w:val="22"/>
              </w:rPr>
              <w:t xml:space="preserve"> of </w:t>
            </w:r>
            <w:r w:rsidRPr="00375F48">
              <w:rPr>
                <w:rFonts w:ascii="APHont" w:hAnsi="APHont"/>
                <w:bCs/>
                <w:sz w:val="22"/>
                <w:szCs w:val="22"/>
              </w:rPr>
              <w:fldChar w:fldCharType="begin"/>
            </w:r>
            <w:r w:rsidRPr="00375F48">
              <w:rPr>
                <w:rFonts w:ascii="APHont" w:hAnsi="APHont"/>
                <w:bCs/>
                <w:sz w:val="22"/>
                <w:szCs w:val="22"/>
              </w:rPr>
              <w:instrText xml:space="preserve"> NUMPAGES  </w:instrText>
            </w:r>
            <w:r w:rsidRPr="00375F48">
              <w:rPr>
                <w:rFonts w:ascii="APHont" w:hAnsi="APHont"/>
                <w:bCs/>
                <w:sz w:val="22"/>
                <w:szCs w:val="22"/>
              </w:rPr>
              <w:fldChar w:fldCharType="separate"/>
            </w:r>
            <w:r w:rsidR="00E734CD">
              <w:rPr>
                <w:rFonts w:ascii="APHont" w:hAnsi="APHont"/>
                <w:bCs/>
                <w:noProof/>
                <w:sz w:val="22"/>
                <w:szCs w:val="22"/>
              </w:rPr>
              <w:t>1</w:t>
            </w:r>
            <w:r w:rsidRPr="00375F48">
              <w:rPr>
                <w:rFonts w:ascii="APHont" w:hAnsi="APHont"/>
                <w:bCs/>
                <w:sz w:val="22"/>
                <w:szCs w:val="22"/>
              </w:rPr>
              <w:fldChar w:fldCharType="end"/>
            </w:r>
          </w:p>
        </w:sdtContent>
      </w:sdt>
    </w:sdtContent>
  </w:sdt>
  <w:p w:rsidR="00375F48" w:rsidRDefault="00375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5F48" w:rsidRDefault="00375F48" w:rsidP="00375F48">
      <w:r>
        <w:separator/>
      </w:r>
    </w:p>
  </w:footnote>
  <w:footnote w:type="continuationSeparator" w:id="0">
    <w:p w:rsidR="00375F48" w:rsidRDefault="00375F48" w:rsidP="00375F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5F48" w:rsidRPr="00375F48" w:rsidRDefault="00375F48" w:rsidP="00375F48">
    <w:pPr>
      <w:pStyle w:val="Header"/>
      <w:jc w:val="right"/>
      <w:rPr>
        <w:rFonts w:ascii="APHont" w:hAnsi="APHont"/>
      </w:rPr>
    </w:pPr>
    <w:r w:rsidRPr="00375F48">
      <w:rPr>
        <w:rFonts w:ascii="APHont" w:hAnsi="APHont"/>
      </w:rPr>
      <w:t>File:  BEDH</w:t>
    </w:r>
  </w:p>
  <w:p w:rsidR="00375F48" w:rsidRDefault="00375F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6F6"/>
    <w:rsid w:val="00103206"/>
    <w:rsid w:val="002F7BCA"/>
    <w:rsid w:val="00375F48"/>
    <w:rsid w:val="004E214A"/>
    <w:rsid w:val="005D3C14"/>
    <w:rsid w:val="00657F9A"/>
    <w:rsid w:val="00763918"/>
    <w:rsid w:val="008F7E18"/>
    <w:rsid w:val="00E734CD"/>
    <w:rsid w:val="00F96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4C089B"/>
  <w15:chartTrackingRefBased/>
  <w15:docId w15:val="{E147B930-3BFF-4BC7-BB97-12E2D056F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policypage"/>
    <w:next w:val="Normal"/>
    <w:link w:val="Heading1Char"/>
    <w:qFormat/>
    <w:rsid w:val="004E214A"/>
    <w:pPr>
      <w:jc w:val="center"/>
      <w:outlineLvl w:val="0"/>
    </w:pPr>
    <w:rPr>
      <w:rFonts w:ascii="APHont" w:hAnsi="APHont"/>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page">
    <w:name w:val="policypage"/>
    <w:basedOn w:val="Normal"/>
    <w:rsid w:val="00F966F6"/>
    <w:pPr>
      <w:spacing w:before="100" w:beforeAutospacing="1" w:after="100" w:afterAutospacing="1"/>
    </w:pPr>
  </w:style>
  <w:style w:type="character" w:customStyle="1" w:styleId="grame">
    <w:name w:val="grame"/>
    <w:basedOn w:val="DefaultParagraphFont"/>
    <w:rsid w:val="00F966F6"/>
  </w:style>
  <w:style w:type="paragraph" w:styleId="Header">
    <w:name w:val="header"/>
    <w:basedOn w:val="Normal"/>
    <w:link w:val="HeaderChar"/>
    <w:uiPriority w:val="99"/>
    <w:rsid w:val="00375F48"/>
    <w:pPr>
      <w:tabs>
        <w:tab w:val="center" w:pos="4680"/>
        <w:tab w:val="right" w:pos="9360"/>
      </w:tabs>
    </w:pPr>
  </w:style>
  <w:style w:type="character" w:customStyle="1" w:styleId="HeaderChar">
    <w:name w:val="Header Char"/>
    <w:basedOn w:val="DefaultParagraphFont"/>
    <w:link w:val="Header"/>
    <w:uiPriority w:val="99"/>
    <w:rsid w:val="00375F48"/>
    <w:rPr>
      <w:sz w:val="24"/>
      <w:szCs w:val="24"/>
    </w:rPr>
  </w:style>
  <w:style w:type="paragraph" w:styleId="Footer">
    <w:name w:val="footer"/>
    <w:basedOn w:val="Normal"/>
    <w:link w:val="FooterChar"/>
    <w:uiPriority w:val="99"/>
    <w:rsid w:val="00375F48"/>
    <w:pPr>
      <w:tabs>
        <w:tab w:val="center" w:pos="4680"/>
        <w:tab w:val="right" w:pos="9360"/>
      </w:tabs>
    </w:pPr>
  </w:style>
  <w:style w:type="character" w:customStyle="1" w:styleId="FooterChar">
    <w:name w:val="Footer Char"/>
    <w:basedOn w:val="DefaultParagraphFont"/>
    <w:link w:val="Footer"/>
    <w:uiPriority w:val="99"/>
    <w:rsid w:val="00375F48"/>
    <w:rPr>
      <w:sz w:val="24"/>
      <w:szCs w:val="24"/>
    </w:rPr>
  </w:style>
  <w:style w:type="character" w:customStyle="1" w:styleId="Heading1Char">
    <w:name w:val="Heading 1 Char"/>
    <w:basedOn w:val="DefaultParagraphFont"/>
    <w:link w:val="Heading1"/>
    <w:rsid w:val="004E214A"/>
    <w:rPr>
      <w:rFonts w:ascii="APHont" w:hAnsi="APHont"/>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814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977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BEDH: Public Participation at Board Meetings</vt:lpstr>
    </vt:vector>
  </TitlesOfParts>
  <Company>Ek Family</Company>
  <LinksUpToDate>false</LinksUpToDate>
  <CharactersWithSpaces>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BEDH: Public Participation at Board Meetings</dc:title>
  <dc:subject/>
  <dc:creator>David Ek</dc:creator>
  <cp:keywords/>
  <dc:description/>
  <cp:lastModifiedBy>Jacky Skinner</cp:lastModifiedBy>
  <cp:revision>3</cp:revision>
  <dcterms:created xsi:type="dcterms:W3CDTF">2017-11-20T19:09:00Z</dcterms:created>
  <dcterms:modified xsi:type="dcterms:W3CDTF">2017-11-21T19:57:00Z</dcterms:modified>
</cp:coreProperties>
</file>